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F38" w:rsidRDefault="00592F38" w:rsidP="0027403D">
      <w:pPr>
        <w:widowControl w:val="0"/>
        <w:spacing w:line="360" w:lineRule="auto"/>
        <w:ind w:right="-164"/>
        <w:jc w:val="both"/>
        <w:rPr>
          <w:rFonts w:ascii="Palatino Linotype" w:eastAsia="Calibri" w:hAnsi="Palatino Linotype" w:cs="Arial"/>
          <w:b/>
          <w:color w:val="000000"/>
        </w:rPr>
      </w:pPr>
      <w:r w:rsidRPr="00D93A88">
        <w:rPr>
          <w:rFonts w:ascii="Palatino Linotype" w:hAnsi="Palatino Linotype" w:cs="Arial"/>
          <w:b/>
        </w:rPr>
        <w:t>VOTO PARTICULAR</w:t>
      </w:r>
      <w:r>
        <w:rPr>
          <w:rFonts w:ascii="Palatino Linotype" w:hAnsi="Palatino Linotype" w:cs="Arial"/>
          <w:b/>
        </w:rPr>
        <w:t xml:space="preserve"> </w:t>
      </w:r>
      <w:r w:rsidRPr="00D93A88">
        <w:rPr>
          <w:rFonts w:ascii="Palatino Linotype" w:hAnsi="Palatino Linotype" w:cs="Arial"/>
          <w:b/>
        </w:rPr>
        <w:t xml:space="preserve">QUE FORMULA </w:t>
      </w:r>
      <w:r w:rsidRPr="00637892">
        <w:rPr>
          <w:rFonts w:ascii="Palatino Linotype" w:hAnsi="Palatino Linotype" w:cs="Arial"/>
          <w:b/>
          <w:szCs w:val="22"/>
        </w:rPr>
        <w:t>LA COMISIONADA EVA ABAID YAPUR</w:t>
      </w:r>
      <w:r w:rsidRPr="00D93A88">
        <w:rPr>
          <w:rFonts w:ascii="Palatino Linotype" w:hAnsi="Palatino Linotype" w:cs="Arial"/>
          <w:b/>
        </w:rPr>
        <w:t xml:space="preserve">, EN RELACIÓN CON LA RESOLUCIÓN DICTADA POR EL PLENO DEL INSTITUTO DE TRANSPARENCIA, ACCESO A LA INFORMACIÓN PÚBLICA Y PROTECCIÓN DE </w:t>
      </w:r>
      <w:r w:rsidRPr="00E42755">
        <w:rPr>
          <w:rFonts w:ascii="Palatino Linotype" w:hAnsi="Palatino Linotype" w:cs="Arial"/>
          <w:b/>
        </w:rPr>
        <w:t xml:space="preserve">DATOS PERSONALES DEL ESTADO DE MÉXICO Y MUNICIPIOS, EN LA </w:t>
      </w:r>
      <w:r w:rsidR="005F64AF">
        <w:rPr>
          <w:rFonts w:ascii="Palatino Linotype" w:hAnsi="Palatino Linotype" w:cs="Arial"/>
          <w:b/>
        </w:rPr>
        <w:t>VIGÉSIMA SÉPTIMA</w:t>
      </w:r>
      <w:r>
        <w:rPr>
          <w:rFonts w:ascii="Palatino Linotype" w:hAnsi="Palatino Linotype" w:cs="Arial"/>
          <w:b/>
        </w:rPr>
        <w:t xml:space="preserve"> SESIÓN ORDINARIA DEL </w:t>
      </w:r>
      <w:r w:rsidR="005F64AF">
        <w:rPr>
          <w:rFonts w:ascii="Palatino Linotype" w:hAnsi="Palatino Linotype" w:cs="Arial"/>
          <w:b/>
        </w:rPr>
        <w:t>UNO DE AGOSTO DE DOS MIL DIECIOCHO</w:t>
      </w:r>
      <w:r>
        <w:rPr>
          <w:rFonts w:ascii="Palatino Linotype" w:hAnsi="Palatino Linotype" w:cs="Arial"/>
          <w:b/>
        </w:rPr>
        <w:t xml:space="preserve">, EN EL RECURSO DE REVISIÓN </w:t>
      </w:r>
      <w:r w:rsidR="00FF4386">
        <w:rPr>
          <w:rFonts w:ascii="Palatino Linotype" w:eastAsia="Calibri" w:hAnsi="Palatino Linotype" w:cs="Arial"/>
          <w:b/>
          <w:color w:val="000000"/>
        </w:rPr>
        <w:t>02</w:t>
      </w:r>
      <w:r w:rsidR="005F64AF">
        <w:rPr>
          <w:rFonts w:ascii="Palatino Linotype" w:eastAsia="Calibri" w:hAnsi="Palatino Linotype" w:cs="Arial"/>
          <w:b/>
          <w:color w:val="000000"/>
        </w:rPr>
        <w:t>053/INFOEM/IP/RR/2018</w:t>
      </w:r>
    </w:p>
    <w:p w:rsidR="00592F38" w:rsidRPr="006E1FB8" w:rsidRDefault="00592F38" w:rsidP="0027403D">
      <w:pPr>
        <w:widowControl w:val="0"/>
        <w:spacing w:line="360" w:lineRule="auto"/>
        <w:ind w:right="-164"/>
        <w:jc w:val="both"/>
        <w:rPr>
          <w:rFonts w:ascii="Palatino Linotype" w:hAnsi="Palatino Linotype" w:cs="Arial"/>
          <w:b/>
        </w:rPr>
      </w:pPr>
    </w:p>
    <w:p w:rsidR="00592F38" w:rsidRDefault="00592F38" w:rsidP="0027403D">
      <w:pPr>
        <w:spacing w:line="360" w:lineRule="auto"/>
        <w:jc w:val="both"/>
        <w:rPr>
          <w:rFonts w:ascii="Palatino Linotype" w:hAnsi="Palatino Linotype" w:cs="Arial"/>
        </w:rPr>
      </w:pPr>
      <w:r>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w:t>
      </w:r>
      <w:r w:rsidRPr="00E42755">
        <w:rPr>
          <w:rFonts w:ascii="Palatino Linotype" w:hAnsi="Palatino Linotype" w:cs="Arial"/>
        </w:rPr>
        <w:t xml:space="preserve"> la</w:t>
      </w:r>
      <w:r>
        <w:rPr>
          <w:rFonts w:ascii="Palatino Linotype" w:hAnsi="Palatino Linotype" w:cs="Arial"/>
        </w:rPr>
        <w:t xml:space="preserve"> que suscribe</w:t>
      </w:r>
      <w:r w:rsidRPr="00E42755">
        <w:rPr>
          <w:rFonts w:ascii="Palatino Linotype" w:hAnsi="Palatino Linotype" w:cs="Arial"/>
          <w:b/>
          <w:lang w:val="es-ES_tradnl"/>
        </w:rPr>
        <w:t xml:space="preserve"> </w:t>
      </w:r>
      <w:r w:rsidRPr="00E42755">
        <w:rPr>
          <w:rFonts w:ascii="Palatino Linotype" w:hAnsi="Palatino Linotype" w:cs="Arial"/>
          <w:b/>
        </w:rPr>
        <w:t>EVA ABAID YAPUR</w:t>
      </w:r>
      <w:r>
        <w:rPr>
          <w:rFonts w:ascii="Palatino Linotype" w:hAnsi="Palatino Linotype" w:cs="Arial"/>
          <w:b/>
        </w:rPr>
        <w:t>,</w:t>
      </w:r>
      <w:r w:rsidRPr="00E42755">
        <w:rPr>
          <w:rFonts w:ascii="Palatino Linotype" w:hAnsi="Palatino Linotype" w:cs="Arial"/>
          <w:b/>
        </w:rPr>
        <w:t xml:space="preserve"> </w:t>
      </w:r>
      <w:r>
        <w:rPr>
          <w:rFonts w:ascii="Palatino Linotype" w:hAnsi="Palatino Linotype" w:cs="Arial"/>
        </w:rPr>
        <w:t>emite</w:t>
      </w:r>
      <w:r w:rsidRPr="00E42755">
        <w:rPr>
          <w:rFonts w:ascii="Palatino Linotype" w:hAnsi="Palatino Linotype" w:cs="Arial"/>
        </w:rPr>
        <w:t xml:space="preserv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 xml:space="preserve">o de la resolución dictada en el </w:t>
      </w:r>
      <w:r w:rsidRPr="00E42755">
        <w:rPr>
          <w:rFonts w:ascii="Palatino Linotype" w:hAnsi="Palatino Linotype" w:cs="Arial"/>
        </w:rPr>
        <w:t>recurso</w:t>
      </w:r>
      <w:r>
        <w:rPr>
          <w:rFonts w:ascii="Palatino Linotype" w:hAnsi="Palatino Linotype" w:cs="Arial"/>
        </w:rPr>
        <w:t xml:space="preserve"> </w:t>
      </w:r>
      <w:r w:rsidRPr="00E42755">
        <w:rPr>
          <w:rFonts w:ascii="Palatino Linotype" w:hAnsi="Palatino Linotype" w:cs="Arial"/>
        </w:rPr>
        <w:t xml:space="preserve">de revisión </w:t>
      </w:r>
      <w:r w:rsidR="00FF4386">
        <w:rPr>
          <w:rFonts w:ascii="Palatino Linotype" w:eastAsia="Calibri" w:hAnsi="Palatino Linotype" w:cs="Arial"/>
          <w:b/>
          <w:color w:val="000000"/>
        </w:rPr>
        <w:t>02</w:t>
      </w:r>
      <w:r w:rsidR="005F64AF">
        <w:rPr>
          <w:rFonts w:ascii="Palatino Linotype" w:eastAsia="Calibri" w:hAnsi="Palatino Linotype" w:cs="Arial"/>
          <w:b/>
          <w:color w:val="000000"/>
        </w:rPr>
        <w:t>053</w:t>
      </w:r>
      <w:r w:rsidRPr="00E42755">
        <w:rPr>
          <w:rFonts w:ascii="Palatino Linotype" w:eastAsia="Calibri" w:hAnsi="Palatino Linotype" w:cs="Arial"/>
          <w:b/>
          <w:color w:val="000000"/>
        </w:rPr>
        <w:t>/INFOEM/IP/RR/201</w:t>
      </w:r>
      <w:r w:rsidR="005F64AF">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w:t>
      </w:r>
      <w:r>
        <w:rPr>
          <w:rFonts w:ascii="Palatino Linotype" w:hAnsi="Palatino Linotype" w:cs="Arial"/>
        </w:rPr>
        <w:t>proyecto presentado por el Comisionado</w:t>
      </w:r>
      <w:r w:rsidRPr="00E42755">
        <w:rPr>
          <w:rFonts w:ascii="Palatino Linotype" w:hAnsi="Palatino Linotype" w:cs="Arial"/>
          <w:b/>
        </w:rPr>
        <w:t xml:space="preserve"> </w:t>
      </w:r>
      <w:r>
        <w:rPr>
          <w:rFonts w:ascii="Palatino Linotype" w:hAnsi="Palatino Linotype" w:cs="Arial"/>
          <w:b/>
        </w:rPr>
        <w:t>JOSÉ GUADALUPE LUNA HERNÁNDEZ</w:t>
      </w:r>
      <w:r w:rsidRPr="00E42755">
        <w:rPr>
          <w:rFonts w:ascii="Palatino Linotype" w:hAnsi="Palatino Linotype" w:cs="Arial"/>
          <w:b/>
        </w:rPr>
        <w:t>,</w:t>
      </w:r>
      <w:r w:rsidR="00F928C9">
        <w:rPr>
          <w:rFonts w:ascii="Palatino Linotype" w:hAnsi="Palatino Linotype" w:cs="Arial"/>
        </w:rPr>
        <w:t xml:space="preserve"> que es del tenor siguiente.</w:t>
      </w:r>
    </w:p>
    <w:p w:rsidR="00592F38" w:rsidRPr="00E42755" w:rsidRDefault="00592F38" w:rsidP="0027403D">
      <w:pPr>
        <w:spacing w:line="360" w:lineRule="auto"/>
        <w:jc w:val="both"/>
        <w:rPr>
          <w:rFonts w:ascii="Palatino Linotype" w:hAnsi="Palatino Linotype" w:cs="Arial"/>
        </w:rPr>
      </w:pPr>
    </w:p>
    <w:p w:rsidR="00592F38" w:rsidRDefault="00592F38" w:rsidP="0027403D">
      <w:pPr>
        <w:spacing w:line="360" w:lineRule="auto"/>
        <w:jc w:val="both"/>
        <w:rPr>
          <w:rFonts w:ascii="Palatino Linotype" w:hAnsi="Palatino Linotype"/>
        </w:rPr>
      </w:pPr>
      <w:r w:rsidRPr="00E42755">
        <w:rPr>
          <w:rFonts w:ascii="Palatino Linotype" w:hAnsi="Palatino Linotype"/>
        </w:rPr>
        <w:t xml:space="preserve">Al respecto, tal y como quedó debidamente asentado en la resolución materia del presente voto, </w:t>
      </w:r>
      <w:r w:rsidR="00FF4386">
        <w:rPr>
          <w:rFonts w:ascii="Palatino Linotype" w:hAnsi="Palatino Linotype"/>
        </w:rPr>
        <w:t>el</w:t>
      </w:r>
      <w:r w:rsidRPr="008162B0">
        <w:rPr>
          <w:rFonts w:ascii="Palatino Linotype" w:hAnsi="Palatino Linotype"/>
        </w:rPr>
        <w:t xml:space="preserve"> particular requirió del </w:t>
      </w:r>
      <w:r w:rsidR="00F928C9" w:rsidRPr="00F928C9">
        <w:rPr>
          <w:rFonts w:ascii="Palatino Linotype" w:hAnsi="Palatino Linotype"/>
          <w:b/>
        </w:rPr>
        <w:t>Sindicato de Maestros al Servicio del Estado de México</w:t>
      </w:r>
      <w:r w:rsidR="00F928C9">
        <w:rPr>
          <w:rFonts w:ascii="Palatino Linotype" w:hAnsi="Palatino Linotype"/>
        </w:rPr>
        <w:t xml:space="preserve">, en lo subsecuente </w:t>
      </w:r>
      <w:r w:rsidR="00F928C9">
        <w:rPr>
          <w:rFonts w:ascii="Palatino Linotype" w:hAnsi="Palatino Linotype"/>
          <w:b/>
        </w:rPr>
        <w:t xml:space="preserve">EL </w:t>
      </w:r>
      <w:r w:rsidRPr="008162B0">
        <w:rPr>
          <w:rFonts w:ascii="Palatino Linotype" w:hAnsi="Palatino Linotype"/>
          <w:b/>
        </w:rPr>
        <w:t>SUJETO OBLIGADO</w:t>
      </w:r>
      <w:r w:rsidR="00C208C2">
        <w:rPr>
          <w:rFonts w:ascii="Palatino Linotype" w:hAnsi="Palatino Linotype"/>
          <w:b/>
        </w:rPr>
        <w:t>,</w:t>
      </w:r>
      <w:r w:rsidRPr="008162B0">
        <w:rPr>
          <w:rFonts w:ascii="Palatino Linotype" w:hAnsi="Palatino Linotype"/>
        </w:rPr>
        <w:t xml:space="preserve"> </w:t>
      </w:r>
      <w:r w:rsidR="00F928C9" w:rsidRPr="00F928C9">
        <w:rPr>
          <w:rFonts w:ascii="Palatino Linotype" w:hAnsi="Palatino Linotype"/>
        </w:rPr>
        <w:t>el nombre de los integrantes del Órgano Electoral independiente que fue electo en el LXII Consejo Estatal Ordinari</w:t>
      </w:r>
      <w:r w:rsidR="00F928C9">
        <w:rPr>
          <w:rFonts w:ascii="Palatino Linotype" w:hAnsi="Palatino Linotype"/>
        </w:rPr>
        <w:t>o.</w:t>
      </w:r>
    </w:p>
    <w:p w:rsidR="00F928C9" w:rsidRDefault="00F928C9" w:rsidP="0027403D">
      <w:pPr>
        <w:spacing w:line="360" w:lineRule="auto"/>
        <w:jc w:val="both"/>
        <w:rPr>
          <w:rFonts w:ascii="Palatino Linotype" w:hAnsi="Palatino Linotype"/>
        </w:rPr>
      </w:pPr>
    </w:p>
    <w:p w:rsidR="00592F38" w:rsidRDefault="00592F38" w:rsidP="0027403D">
      <w:pPr>
        <w:spacing w:line="360" w:lineRule="auto"/>
        <w:jc w:val="both"/>
        <w:rPr>
          <w:rFonts w:ascii="Palatino Linotype" w:hAnsi="Palatino Linotype" w:cs="Arial"/>
          <w:b/>
        </w:rPr>
      </w:pPr>
      <w:r>
        <w:rPr>
          <w:rFonts w:ascii="Palatino Linotype" w:hAnsi="Palatino Linotype" w:cs="Arial"/>
        </w:rPr>
        <w:t xml:space="preserve">De las constancias que obran en el expediente electrónico del SAIMEX, se observó que </w:t>
      </w:r>
      <w:r w:rsidRPr="008162B0">
        <w:rPr>
          <w:rFonts w:ascii="Palatino Linotype" w:hAnsi="Palatino Linotype" w:cs="Arial"/>
          <w:b/>
        </w:rPr>
        <w:t>EL SUJETO OBLIGADO</w:t>
      </w:r>
      <w:r w:rsidR="00FF4386">
        <w:rPr>
          <w:rFonts w:ascii="Palatino Linotype" w:hAnsi="Palatino Linotype" w:cs="Arial"/>
        </w:rPr>
        <w:t xml:space="preserve"> manifestó dentro de su respuesta, </w:t>
      </w:r>
      <w:r w:rsidR="00F928C9" w:rsidRPr="00F928C9">
        <w:rPr>
          <w:rFonts w:ascii="Palatino Linotype" w:hAnsi="Palatino Linotype" w:cs="Arial"/>
        </w:rPr>
        <w:t xml:space="preserve">que el LXII Consejo Estatal </w:t>
      </w:r>
      <w:r w:rsidR="00F928C9" w:rsidRPr="00F928C9">
        <w:rPr>
          <w:rFonts w:ascii="Palatino Linotype" w:hAnsi="Palatino Linotype" w:cs="Arial"/>
        </w:rPr>
        <w:lastRenderedPageBreak/>
        <w:t>Ordinario no se ha llevado a cabo</w:t>
      </w:r>
      <w:r w:rsidR="00F928C9">
        <w:rPr>
          <w:rFonts w:ascii="Palatino Linotype" w:hAnsi="Palatino Linotype" w:cs="Arial"/>
        </w:rPr>
        <w:t>; s</w:t>
      </w:r>
      <w:r w:rsidR="00F928C9" w:rsidRPr="00F928C9">
        <w:rPr>
          <w:rFonts w:ascii="Palatino Linotype" w:hAnsi="Palatino Linotype" w:cs="Arial"/>
        </w:rPr>
        <w:t>in embargo, mediante</w:t>
      </w:r>
      <w:r w:rsidR="00F928C9">
        <w:rPr>
          <w:rFonts w:ascii="Palatino Linotype" w:hAnsi="Palatino Linotype" w:cs="Arial"/>
        </w:rPr>
        <w:t xml:space="preserve"> Acta de la Cuarta Sesión Ex</w:t>
      </w:r>
      <w:r w:rsidR="00F928C9" w:rsidRPr="00F928C9">
        <w:rPr>
          <w:rFonts w:ascii="Palatino Linotype" w:hAnsi="Palatino Linotype" w:cs="Arial"/>
        </w:rPr>
        <w:t xml:space="preserve">traordinaria, se clasificaron </w:t>
      </w:r>
      <w:r w:rsidR="00C208C2">
        <w:rPr>
          <w:rFonts w:ascii="Palatino Linotype" w:hAnsi="Palatino Linotype" w:cs="Arial"/>
        </w:rPr>
        <w:t xml:space="preserve">dichos nombres </w:t>
      </w:r>
      <w:r w:rsidR="00F928C9" w:rsidRPr="00F928C9">
        <w:rPr>
          <w:rFonts w:ascii="Palatino Linotype" w:hAnsi="Palatino Linotype" w:cs="Arial"/>
        </w:rPr>
        <w:t>con carácter de confidencial</w:t>
      </w:r>
      <w:r w:rsidR="00C208C2">
        <w:rPr>
          <w:rFonts w:ascii="Palatino Linotype" w:hAnsi="Palatino Linotype" w:cs="Arial"/>
        </w:rPr>
        <w:t>es.</w:t>
      </w:r>
    </w:p>
    <w:p w:rsidR="00592F38" w:rsidRDefault="00592F38" w:rsidP="0027403D">
      <w:pPr>
        <w:spacing w:line="360" w:lineRule="auto"/>
        <w:jc w:val="both"/>
        <w:rPr>
          <w:rFonts w:ascii="Palatino Linotype" w:hAnsi="Palatino Linotype" w:cs="Arial"/>
        </w:rPr>
      </w:pPr>
    </w:p>
    <w:p w:rsidR="00592F38" w:rsidRDefault="00592F38" w:rsidP="0027403D">
      <w:pPr>
        <w:spacing w:line="360" w:lineRule="auto"/>
        <w:jc w:val="both"/>
        <w:rPr>
          <w:rFonts w:ascii="Palatino Linotype" w:hAnsi="Palatino Linotype" w:cs="Arial"/>
        </w:rPr>
      </w:pPr>
      <w:r>
        <w:rPr>
          <w:rFonts w:ascii="Palatino Linotype" w:hAnsi="Palatino Linotype" w:cs="Arial"/>
        </w:rPr>
        <w:t xml:space="preserve">Inconforme con la </w:t>
      </w:r>
      <w:r w:rsidR="00FF4386">
        <w:rPr>
          <w:rFonts w:ascii="Palatino Linotype" w:hAnsi="Palatino Linotype" w:cs="Arial"/>
        </w:rPr>
        <w:t>respuesta el</w:t>
      </w:r>
      <w:r>
        <w:rPr>
          <w:rFonts w:ascii="Palatino Linotype" w:hAnsi="Palatino Linotype" w:cs="Arial"/>
        </w:rPr>
        <w:t xml:space="preserve"> particular interpuso el recurso de revisión de mérito.</w:t>
      </w:r>
    </w:p>
    <w:p w:rsidR="00592F38" w:rsidRPr="00DC1756" w:rsidRDefault="00592F38" w:rsidP="0027403D">
      <w:pPr>
        <w:spacing w:line="360" w:lineRule="auto"/>
        <w:ind w:left="851"/>
        <w:jc w:val="both"/>
        <w:rPr>
          <w:rFonts w:ascii="Palatino Linotype" w:hAnsi="Palatino Linotype" w:cs="Arial"/>
        </w:rPr>
      </w:pPr>
    </w:p>
    <w:p w:rsidR="00D74B7B" w:rsidRPr="00F928C9" w:rsidRDefault="00592F38" w:rsidP="0027403D">
      <w:pPr>
        <w:spacing w:line="360" w:lineRule="auto"/>
        <w:jc w:val="both"/>
        <w:rPr>
          <w:rFonts w:ascii="Palatino Linotype" w:hAnsi="Palatino Linotype" w:cs="Arial"/>
        </w:rPr>
      </w:pPr>
      <w:r>
        <w:rPr>
          <w:rFonts w:ascii="Palatino Linotype" w:hAnsi="Palatino Linotype" w:cs="Arial"/>
        </w:rPr>
        <w:t>Así, del análisis d</w:t>
      </w:r>
      <w:r>
        <w:rPr>
          <w:rFonts w:ascii="Palatino Linotype" w:hAnsi="Palatino Linotype"/>
        </w:rPr>
        <w:t xml:space="preserve">el </w:t>
      </w:r>
      <w:r w:rsidRPr="00A01905">
        <w:rPr>
          <w:rFonts w:ascii="Palatino Linotype" w:hAnsi="Palatino Linotype"/>
        </w:rPr>
        <w:t xml:space="preserve">expediente electrónico </w:t>
      </w:r>
      <w:r>
        <w:rPr>
          <w:rFonts w:ascii="Palatino Linotype" w:hAnsi="Palatino Linotype" w:cs="Arial"/>
        </w:rPr>
        <w:t xml:space="preserve">la Ponencia </w:t>
      </w:r>
      <w:proofErr w:type="spellStart"/>
      <w:r>
        <w:rPr>
          <w:rFonts w:ascii="Palatino Linotype" w:hAnsi="Palatino Linotype" w:cs="Arial"/>
        </w:rPr>
        <w:t>R</w:t>
      </w:r>
      <w:r w:rsidRPr="00722925">
        <w:rPr>
          <w:rFonts w:ascii="Palatino Linotype" w:hAnsi="Palatino Linotype" w:cs="Arial"/>
        </w:rPr>
        <w:t>esolut</w:t>
      </w:r>
      <w:r>
        <w:rPr>
          <w:rFonts w:ascii="Palatino Linotype" w:hAnsi="Palatino Linotype" w:cs="Arial"/>
        </w:rPr>
        <w:t>o</w:t>
      </w:r>
      <w:r w:rsidRPr="00722925">
        <w:rPr>
          <w:rFonts w:ascii="Palatino Linotype" w:hAnsi="Palatino Linotype" w:cs="Arial"/>
        </w:rPr>
        <w:t>ra</w:t>
      </w:r>
      <w:proofErr w:type="spellEnd"/>
      <w:r w:rsidRPr="00722925">
        <w:rPr>
          <w:rFonts w:ascii="Palatino Linotype" w:hAnsi="Palatino Linotype" w:cs="Arial"/>
        </w:rPr>
        <w:t xml:space="preserve"> determinó </w:t>
      </w:r>
      <w:r w:rsidR="00F928C9" w:rsidRPr="00F928C9">
        <w:rPr>
          <w:rFonts w:ascii="Palatino Linotype" w:hAnsi="Palatino Linotype" w:cs="Arial"/>
          <w:b/>
        </w:rPr>
        <w:t>REVOCA</w:t>
      </w:r>
      <w:r w:rsidR="00F928C9">
        <w:rPr>
          <w:rFonts w:ascii="Palatino Linotype" w:hAnsi="Palatino Linotype" w:cs="Arial"/>
          <w:b/>
        </w:rPr>
        <w:t>R</w:t>
      </w:r>
      <w:r w:rsidR="00F928C9" w:rsidRPr="00F928C9">
        <w:rPr>
          <w:rFonts w:ascii="Palatino Linotype" w:hAnsi="Palatino Linotype" w:cs="Arial"/>
          <w:b/>
        </w:rPr>
        <w:t xml:space="preserve"> </w:t>
      </w:r>
      <w:r w:rsidR="00F928C9" w:rsidRPr="00F928C9">
        <w:rPr>
          <w:rFonts w:ascii="Palatino Linotype" w:hAnsi="Palatino Linotype" w:cs="Arial"/>
        </w:rPr>
        <w:t xml:space="preserve">la respuesta emitida por el Sindicato de Maestros al Servicio del Estado de México </w:t>
      </w:r>
      <w:r w:rsidR="00F928C9">
        <w:rPr>
          <w:rFonts w:ascii="Palatino Linotype" w:hAnsi="Palatino Linotype" w:cs="Arial"/>
        </w:rPr>
        <w:t xml:space="preserve">ordenándole hacer entrega </w:t>
      </w:r>
      <w:r w:rsidR="00F928C9" w:rsidRPr="00F928C9">
        <w:rPr>
          <w:rFonts w:ascii="Palatino Linotype" w:hAnsi="Palatino Linotype" w:cs="Arial"/>
        </w:rPr>
        <w:t xml:space="preserve"> </w:t>
      </w:r>
      <w:r w:rsidR="00F928C9">
        <w:rPr>
          <w:rFonts w:ascii="Palatino Linotype" w:hAnsi="Palatino Linotype" w:cs="Arial"/>
        </w:rPr>
        <w:t>de</w:t>
      </w:r>
      <w:r w:rsidR="00F928C9" w:rsidRPr="00F928C9">
        <w:rPr>
          <w:rFonts w:ascii="Palatino Linotype" w:hAnsi="Palatino Linotype" w:cs="Arial"/>
        </w:rPr>
        <w:t xml:space="preserve"> los documentos donde conste</w:t>
      </w:r>
      <w:r w:rsidR="00F928C9">
        <w:rPr>
          <w:rFonts w:ascii="Palatino Linotype" w:hAnsi="Palatino Linotype" w:cs="Arial"/>
        </w:rPr>
        <w:t>n</w:t>
      </w:r>
      <w:r w:rsidR="00F928C9" w:rsidRPr="00F928C9">
        <w:rPr>
          <w:rFonts w:ascii="Palatino Linotype" w:hAnsi="Palatino Linotype" w:cs="Arial"/>
        </w:rPr>
        <w:t xml:space="preserve"> </w:t>
      </w:r>
      <w:r w:rsidR="00F928C9">
        <w:rPr>
          <w:rFonts w:ascii="Palatino Linotype" w:hAnsi="Palatino Linotype" w:cs="Arial"/>
        </w:rPr>
        <w:t>l</w:t>
      </w:r>
      <w:r w:rsidR="00F928C9" w:rsidRPr="00F928C9">
        <w:rPr>
          <w:rFonts w:ascii="Palatino Linotype" w:hAnsi="Palatino Linotype" w:cs="Arial"/>
        </w:rPr>
        <w:t>os nombres de los integrantes del Órgano Electoral Independiente del XLII Consejo Estatal Ordinario.</w:t>
      </w:r>
    </w:p>
    <w:p w:rsidR="00F928C9" w:rsidRDefault="00F928C9" w:rsidP="0027403D">
      <w:pPr>
        <w:spacing w:line="360" w:lineRule="auto"/>
        <w:jc w:val="both"/>
        <w:rPr>
          <w:rFonts w:ascii="Palatino Linotype" w:hAnsi="Palatino Linotype" w:cs="Arial"/>
        </w:rPr>
      </w:pPr>
    </w:p>
    <w:p w:rsidR="00592F38" w:rsidRDefault="00592F38" w:rsidP="0027403D">
      <w:pPr>
        <w:spacing w:line="360" w:lineRule="auto"/>
        <w:jc w:val="both"/>
        <w:rPr>
          <w:rFonts w:ascii="Palatino Linotype" w:hAnsi="Palatino Linotype" w:cs="Arial"/>
        </w:rPr>
      </w:pPr>
      <w:r>
        <w:rPr>
          <w:rFonts w:ascii="Palatino Linotype" w:hAnsi="Palatino Linotype" w:cs="Arial"/>
        </w:rPr>
        <w:t xml:space="preserve">De lo anterior, es </w:t>
      </w:r>
      <w:r w:rsidR="00CA1035">
        <w:rPr>
          <w:rFonts w:ascii="Palatino Linotype" w:hAnsi="Palatino Linotype" w:cs="Arial"/>
        </w:rPr>
        <w:t xml:space="preserve">de señalar que </w:t>
      </w:r>
      <w:r w:rsidR="0027403D">
        <w:rPr>
          <w:rFonts w:ascii="Palatino Linotype" w:hAnsi="Palatino Linotype" w:cs="Arial"/>
        </w:rPr>
        <w:t>en el resolutivo QUINTO</w:t>
      </w:r>
      <w:r>
        <w:rPr>
          <w:rFonts w:ascii="Palatino Linotype" w:hAnsi="Palatino Linotype" w:cs="Arial"/>
          <w:b/>
        </w:rPr>
        <w:t xml:space="preserve"> </w:t>
      </w:r>
      <w:r>
        <w:rPr>
          <w:rFonts w:ascii="Palatino Linotype" w:hAnsi="Palatino Linotype" w:cs="Arial"/>
        </w:rPr>
        <w:t xml:space="preserve">se ordena la notificación de la resolución </w:t>
      </w:r>
      <w:r w:rsidR="0027403D">
        <w:rPr>
          <w:rFonts w:ascii="Palatino Linotype" w:hAnsi="Palatino Linotype" w:cs="Arial"/>
        </w:rPr>
        <w:t xml:space="preserve">a las partes, </w:t>
      </w:r>
      <w:r w:rsidR="00EA1E4C">
        <w:rPr>
          <w:rFonts w:ascii="Palatino Linotype" w:hAnsi="Palatino Linotype" w:cs="Arial"/>
        </w:rPr>
        <w:t>así como de conformidad con el artículo 196 de la Ley de la materia, en caso de que consideren que les causa algún perjuicio, podrán impugnarla vía juicio de amparo.</w:t>
      </w:r>
    </w:p>
    <w:p w:rsidR="00EA1E4C" w:rsidRDefault="00EA1E4C" w:rsidP="0027403D">
      <w:pPr>
        <w:spacing w:line="360" w:lineRule="auto"/>
        <w:jc w:val="both"/>
        <w:rPr>
          <w:rFonts w:ascii="Palatino Linotype" w:hAnsi="Palatino Linotype" w:cs="Arial"/>
        </w:rPr>
      </w:pPr>
    </w:p>
    <w:p w:rsidR="00592F38" w:rsidRDefault="00592F38" w:rsidP="0027403D">
      <w:pPr>
        <w:spacing w:line="360" w:lineRule="auto"/>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rPr>
        <w:t xml:space="preserve">, si bien coincide </w:t>
      </w:r>
      <w:r w:rsidR="00EA1E4C">
        <w:rPr>
          <w:rFonts w:ascii="Palatino Linotype" w:hAnsi="Palatino Linotype"/>
        </w:rPr>
        <w:t xml:space="preserve">en </w:t>
      </w:r>
      <w:r w:rsidR="008973C5">
        <w:rPr>
          <w:rFonts w:ascii="Palatino Linotype" w:hAnsi="Palatino Linotype"/>
        </w:rPr>
        <w:t>términos</w:t>
      </w:r>
      <w:r w:rsidR="00EA1E4C">
        <w:rPr>
          <w:rFonts w:ascii="Palatino Linotype" w:hAnsi="Palatino Linotype"/>
        </w:rPr>
        <w:t xml:space="preserve"> generales con el estudio y el sentido de la resolución en comento, difiero respecto a lo ordenado en </w:t>
      </w:r>
      <w:r w:rsidR="00C208C2">
        <w:rPr>
          <w:rFonts w:ascii="Palatino Linotype" w:hAnsi="Palatino Linotype"/>
        </w:rPr>
        <w:t>el</w:t>
      </w:r>
      <w:r w:rsidR="00EA1E4C">
        <w:rPr>
          <w:rFonts w:ascii="Palatino Linotype" w:hAnsi="Palatino Linotype"/>
        </w:rPr>
        <w:t xml:space="preserve"> resolutivo</w:t>
      </w:r>
      <w:r w:rsidR="00C208C2">
        <w:rPr>
          <w:rFonts w:ascii="Palatino Linotype" w:hAnsi="Palatino Linotype"/>
        </w:rPr>
        <w:t xml:space="preserve"> QUINTO</w:t>
      </w:r>
      <w:r w:rsidR="00EA1E4C">
        <w:rPr>
          <w:rFonts w:ascii="Palatino Linotype" w:hAnsi="Palatino Linotype"/>
        </w:rPr>
        <w:t xml:space="preserve">. </w:t>
      </w:r>
      <w:r w:rsidRPr="003C72D2">
        <w:rPr>
          <w:rFonts w:ascii="Palatino Linotype" w:hAnsi="Palatino Linotype"/>
        </w:rPr>
        <w:t>L</w:t>
      </w:r>
      <w:r>
        <w:rPr>
          <w:rFonts w:ascii="Palatino Linotype" w:hAnsi="Palatino Linotype"/>
        </w:rPr>
        <w:t>o anterior es así, de acuerdo con lo siguiente:</w:t>
      </w:r>
    </w:p>
    <w:p w:rsidR="00592F38" w:rsidRDefault="00592F38" w:rsidP="0027403D">
      <w:pPr>
        <w:spacing w:line="360" w:lineRule="auto"/>
        <w:jc w:val="both"/>
        <w:rPr>
          <w:rFonts w:ascii="Palatino Linotype" w:hAnsi="Palatino Linotype"/>
        </w:rPr>
      </w:pPr>
    </w:p>
    <w:p w:rsidR="00EA1E4C" w:rsidRDefault="00592F38" w:rsidP="0027403D">
      <w:pPr>
        <w:spacing w:line="360" w:lineRule="auto"/>
        <w:jc w:val="both"/>
        <w:rPr>
          <w:rFonts w:ascii="Palatino Linotype" w:hAnsi="Palatino Linotype"/>
        </w:rPr>
      </w:pPr>
      <w:r>
        <w:rPr>
          <w:rFonts w:ascii="Palatino Linotype" w:hAnsi="Palatino Linotype"/>
        </w:rPr>
        <w:t xml:space="preserve">En primer término, es necesario precisar que de conformidad con </w:t>
      </w:r>
      <w:r w:rsidR="00EA1E4C">
        <w:rPr>
          <w:rFonts w:ascii="Palatino Linotype" w:hAnsi="Palatino Linotype"/>
        </w:rPr>
        <w:t xml:space="preserve">el Título Octavo denominado </w:t>
      </w:r>
      <w:r w:rsidR="00EA1E4C" w:rsidRPr="0027403D">
        <w:rPr>
          <w:rFonts w:ascii="Palatino Linotype" w:hAnsi="Palatino Linotype"/>
          <w:i/>
        </w:rPr>
        <w:t>De la Impugnación en Materia de Acceso a la Información Pública, Capitulo II Del Recurso de Inconformidad</w:t>
      </w:r>
      <w:r w:rsidR="00CA1035">
        <w:rPr>
          <w:rFonts w:ascii="Palatino Linotype" w:hAnsi="Palatino Linotype"/>
        </w:rPr>
        <w:t xml:space="preserve"> de la Ley de Transparencia y Acceso a la Información </w:t>
      </w:r>
      <w:r w:rsidR="00CA1035">
        <w:rPr>
          <w:rFonts w:ascii="Palatino Linotype" w:hAnsi="Palatino Linotype"/>
        </w:rPr>
        <w:lastRenderedPageBreak/>
        <w:t xml:space="preserve">Pública del Estado de México y Municipios, </w:t>
      </w:r>
      <w:r w:rsidR="00EA1E4C">
        <w:rPr>
          <w:rFonts w:ascii="Palatino Linotype" w:hAnsi="Palatino Linotype"/>
        </w:rPr>
        <w:t>el artículo citado en el resolutivo materia del presente voto establece lo siguiente:</w:t>
      </w:r>
    </w:p>
    <w:p w:rsidR="00EA1E4C" w:rsidRDefault="00EA1E4C" w:rsidP="0027403D">
      <w:pPr>
        <w:spacing w:line="360" w:lineRule="auto"/>
        <w:jc w:val="both"/>
        <w:rPr>
          <w:rFonts w:ascii="Palatino Linotype" w:hAnsi="Palatino Linotype"/>
        </w:rPr>
      </w:pPr>
    </w:p>
    <w:p w:rsidR="00EA1E4C" w:rsidRPr="00EA1E4C" w:rsidRDefault="00EA1E4C" w:rsidP="0027403D">
      <w:pPr>
        <w:ind w:left="851" w:right="899"/>
        <w:jc w:val="both"/>
        <w:rPr>
          <w:rFonts w:ascii="Palatino Linotype" w:hAnsi="Palatino Linotype"/>
          <w:i/>
          <w:sz w:val="22"/>
          <w:szCs w:val="22"/>
        </w:rPr>
      </w:pPr>
      <w:r w:rsidRPr="00EA1E4C">
        <w:rPr>
          <w:rFonts w:ascii="Palatino Linotype" w:hAnsi="Palatino Linotype"/>
          <w:b/>
          <w:i/>
          <w:sz w:val="22"/>
          <w:szCs w:val="22"/>
        </w:rPr>
        <w:t>“Artículo 196.</w:t>
      </w:r>
      <w:r w:rsidRPr="00EA1E4C">
        <w:rPr>
          <w:rFonts w:ascii="Palatino Linotype" w:hAnsi="Palatino Linotype"/>
          <w:i/>
          <w:sz w:val="22"/>
          <w:szCs w:val="22"/>
        </w:rPr>
        <w:t xml:space="preserve"> </w:t>
      </w:r>
      <w:r w:rsidRPr="00EA1E4C">
        <w:rPr>
          <w:rFonts w:ascii="Palatino Linotype" w:hAnsi="Palatino Linotype"/>
          <w:b/>
          <w:i/>
          <w:sz w:val="22"/>
          <w:szCs w:val="22"/>
        </w:rPr>
        <w:t>Los particulares podrán impugnar las determinaciones o resoluciones del Instituto</w:t>
      </w:r>
      <w:r w:rsidRPr="00EA1E4C">
        <w:rPr>
          <w:rFonts w:ascii="Palatino Linotype" w:hAnsi="Palatino Linotype"/>
          <w:i/>
          <w:sz w:val="22"/>
          <w:szCs w:val="22"/>
        </w:rPr>
        <w:t xml:space="preserve"> ante el Instituto Nacional o el Poder Judicial de la Federación, conforme a lo previsto en la Ley General.</w:t>
      </w:r>
      <w:r w:rsidRPr="00EA1E4C">
        <w:rPr>
          <w:rFonts w:ascii="Palatino Linotype" w:hAnsi="Palatino Linotype"/>
          <w:b/>
          <w:i/>
          <w:sz w:val="22"/>
          <w:szCs w:val="22"/>
        </w:rPr>
        <w:t>”</w:t>
      </w:r>
    </w:p>
    <w:p w:rsidR="00EA1E4C" w:rsidRDefault="00EA1E4C" w:rsidP="0027403D">
      <w:pPr>
        <w:spacing w:line="360" w:lineRule="auto"/>
        <w:jc w:val="both"/>
        <w:rPr>
          <w:rFonts w:ascii="Palatino Linotype" w:hAnsi="Palatino Linotype"/>
        </w:rPr>
      </w:pPr>
    </w:p>
    <w:p w:rsidR="00EA1E4C" w:rsidRDefault="00592F38" w:rsidP="0027403D">
      <w:pPr>
        <w:spacing w:line="360" w:lineRule="auto"/>
        <w:jc w:val="both"/>
        <w:rPr>
          <w:rFonts w:ascii="Palatino Linotype" w:hAnsi="Palatino Linotype"/>
        </w:rPr>
      </w:pPr>
      <w:r>
        <w:rPr>
          <w:rFonts w:ascii="Palatino Linotype" w:hAnsi="Palatino Linotype"/>
        </w:rPr>
        <w:t xml:space="preserve">Así en el presente caso, </w:t>
      </w:r>
      <w:r w:rsidR="00EA1E4C">
        <w:rPr>
          <w:rFonts w:ascii="Palatino Linotype" w:hAnsi="Palatino Linotype"/>
        </w:rPr>
        <w:t>el artículo en cita, define claramente que sólo los particulares en términos de l</w:t>
      </w:r>
      <w:r w:rsidR="00CA1035">
        <w:rPr>
          <w:rFonts w:ascii="Palatino Linotype" w:hAnsi="Palatino Linotype"/>
        </w:rPr>
        <w:t>o establecido por la Ley</w:t>
      </w:r>
      <w:r w:rsidR="00EA1E4C">
        <w:rPr>
          <w:rFonts w:ascii="Palatino Linotype" w:hAnsi="Palatino Linotype"/>
        </w:rPr>
        <w:t xml:space="preserve"> de Trasparencia  y A</w:t>
      </w:r>
      <w:r w:rsidR="00CA1035">
        <w:rPr>
          <w:rFonts w:ascii="Palatino Linotype" w:hAnsi="Palatino Linotype"/>
        </w:rPr>
        <w:t>cceso a la Información Pública del Estado de México y Municipios</w:t>
      </w:r>
      <w:r w:rsidR="00EA1E4C">
        <w:rPr>
          <w:rFonts w:ascii="Palatino Linotype" w:hAnsi="Palatino Linotype"/>
        </w:rPr>
        <w:t>, podrán impugnar las resoluciones que tenga a bien emitir este Instituto de Trans</w:t>
      </w:r>
      <w:r w:rsidR="00C2566D">
        <w:rPr>
          <w:rFonts w:ascii="Palatino Linotype" w:hAnsi="Palatino Linotype"/>
        </w:rPr>
        <w:t>parencia, en e</w:t>
      </w:r>
      <w:r w:rsidR="00CA1035">
        <w:rPr>
          <w:rFonts w:ascii="Palatino Linotype" w:hAnsi="Palatino Linotype"/>
        </w:rPr>
        <w:t>l ejercicio de sus atribuciones, ya sea a</w:t>
      </w:r>
      <w:r w:rsidR="00227A47">
        <w:rPr>
          <w:rFonts w:ascii="Palatino Linotype" w:hAnsi="Palatino Linotype"/>
        </w:rPr>
        <w:t>nte el Instituto Nacional de Transparencia, Acceso a la Información Pública y Protección de Datos Personales o bien ante el Poder Judicial de la Federación.</w:t>
      </w:r>
    </w:p>
    <w:p w:rsidR="00C2566D" w:rsidRDefault="00C2566D" w:rsidP="0027403D">
      <w:pPr>
        <w:spacing w:line="360" w:lineRule="auto"/>
        <w:jc w:val="both"/>
        <w:rPr>
          <w:rFonts w:ascii="Palatino Linotype" w:hAnsi="Palatino Linotype"/>
        </w:rPr>
      </w:pPr>
    </w:p>
    <w:p w:rsidR="00C2566D" w:rsidRDefault="00C2566D" w:rsidP="0027403D">
      <w:pPr>
        <w:spacing w:line="360" w:lineRule="auto"/>
        <w:jc w:val="both"/>
        <w:rPr>
          <w:rFonts w:ascii="Palatino Linotype" w:hAnsi="Palatino Linotype"/>
        </w:rPr>
      </w:pPr>
      <w:r>
        <w:rPr>
          <w:rFonts w:ascii="Palatino Linotype" w:hAnsi="Palatino Linotype"/>
        </w:rPr>
        <w:t>En ese sentido, cabe hacer mención que el numeral 194 de la Ley en comento, refiere que:</w:t>
      </w:r>
    </w:p>
    <w:p w:rsidR="00C2566D" w:rsidRPr="008452EB" w:rsidRDefault="00C2566D" w:rsidP="0027403D">
      <w:pPr>
        <w:spacing w:line="360" w:lineRule="auto"/>
        <w:jc w:val="both"/>
        <w:rPr>
          <w:rFonts w:ascii="Palatino Linotype" w:hAnsi="Palatino Linotype"/>
          <w:sz w:val="20"/>
          <w:szCs w:val="20"/>
        </w:rPr>
      </w:pPr>
    </w:p>
    <w:p w:rsidR="00C2566D" w:rsidRPr="00C2566D" w:rsidRDefault="00C2566D" w:rsidP="0027403D">
      <w:pPr>
        <w:ind w:left="851" w:right="899"/>
        <w:jc w:val="both"/>
        <w:rPr>
          <w:rFonts w:ascii="Palatino Linotype" w:hAnsi="Palatino Linotype"/>
          <w:b/>
          <w:i/>
          <w:sz w:val="22"/>
          <w:szCs w:val="22"/>
        </w:rPr>
      </w:pPr>
      <w:r w:rsidRPr="00C2566D">
        <w:rPr>
          <w:rFonts w:ascii="Palatino Linotype" w:hAnsi="Palatino Linotype"/>
          <w:b/>
          <w:i/>
          <w:sz w:val="22"/>
          <w:szCs w:val="22"/>
        </w:rPr>
        <w:t>“Articulo 194. Las resoluciones del Instituto son vinculatorias, definitivas e inatacables para los sujetos obligados, y contra ellas no procederá recurso alguno,</w:t>
      </w:r>
      <w:r w:rsidRPr="00C2566D">
        <w:rPr>
          <w:rFonts w:ascii="Palatino Linotype" w:hAnsi="Palatino Linotype"/>
          <w:i/>
          <w:sz w:val="22"/>
          <w:szCs w:val="22"/>
        </w:rPr>
        <w:t xml:space="preserve"> por lo que cuando satisfacen plenamente la solicitud de la persona, adquieren la condición de resolución dictada por órgano constitucional en el régimen jurídico nacional.</w:t>
      </w:r>
      <w:r w:rsidRPr="00C2566D">
        <w:rPr>
          <w:rFonts w:ascii="Palatino Linotype" w:hAnsi="Palatino Linotype"/>
          <w:b/>
          <w:i/>
          <w:sz w:val="22"/>
          <w:szCs w:val="22"/>
        </w:rPr>
        <w:t>”</w:t>
      </w:r>
    </w:p>
    <w:p w:rsidR="00C2566D" w:rsidRPr="00C2566D" w:rsidRDefault="00C2566D" w:rsidP="0027403D">
      <w:pPr>
        <w:spacing w:line="360" w:lineRule="auto"/>
        <w:ind w:left="851" w:right="899"/>
        <w:jc w:val="both"/>
        <w:rPr>
          <w:rFonts w:ascii="Palatino Linotype" w:hAnsi="Palatino Linotype"/>
          <w:i/>
          <w:sz w:val="22"/>
          <w:szCs w:val="22"/>
        </w:rPr>
      </w:pPr>
    </w:p>
    <w:p w:rsidR="00EA1E4C" w:rsidRDefault="00C2566D" w:rsidP="0027403D">
      <w:pPr>
        <w:spacing w:line="360" w:lineRule="auto"/>
        <w:jc w:val="both"/>
        <w:rPr>
          <w:rFonts w:ascii="Palatino Linotype" w:hAnsi="Palatino Linotype"/>
        </w:rPr>
      </w:pPr>
      <w:r>
        <w:rPr>
          <w:rFonts w:ascii="Palatino Linotype" w:hAnsi="Palatino Linotype"/>
        </w:rPr>
        <w:t xml:space="preserve">Una vez precisado lo anterior, debe señalarse que </w:t>
      </w:r>
      <w:r w:rsidR="00227A47">
        <w:rPr>
          <w:rFonts w:ascii="Palatino Linotype" w:hAnsi="Palatino Linotype"/>
        </w:rPr>
        <w:t>al</w:t>
      </w:r>
      <w:r>
        <w:rPr>
          <w:rFonts w:ascii="Palatino Linotype" w:hAnsi="Palatino Linotype"/>
        </w:rPr>
        <w:t xml:space="preserve"> ordenar la notificación de la resolución y dejar abierta la posibilidad de que </w:t>
      </w:r>
      <w:r>
        <w:rPr>
          <w:rFonts w:ascii="Palatino Linotype" w:hAnsi="Palatino Linotype"/>
          <w:b/>
        </w:rPr>
        <w:t xml:space="preserve">EL SUJETO OBLIGADO, </w:t>
      </w:r>
      <w:r>
        <w:rPr>
          <w:rFonts w:ascii="Palatino Linotype" w:hAnsi="Palatino Linotype"/>
        </w:rPr>
        <w:t xml:space="preserve">en este caso el Sindicato pueda promover un recurso de Inconformidad de acuerdo a lo establecido </w:t>
      </w:r>
      <w:r>
        <w:rPr>
          <w:rFonts w:ascii="Palatino Linotype" w:hAnsi="Palatino Linotype"/>
        </w:rPr>
        <w:lastRenderedPageBreak/>
        <w:t xml:space="preserve">por la Ley </w:t>
      </w:r>
      <w:r w:rsidR="00227A47">
        <w:rPr>
          <w:rFonts w:ascii="Palatino Linotype" w:hAnsi="Palatino Linotype"/>
        </w:rPr>
        <w:t>de la materia</w:t>
      </w:r>
      <w:r>
        <w:rPr>
          <w:rFonts w:ascii="Palatino Linotype" w:hAnsi="Palatino Linotype"/>
        </w:rPr>
        <w:t xml:space="preserve"> o bien pueda realizar alguna promoción de conformidad con la normativa determinada para tal efecto por el Poder Judicial de la Federación, se estaría en contravención con lo establecido en la Ley de Tra</w:t>
      </w:r>
      <w:r w:rsidR="00314C8C">
        <w:rPr>
          <w:rFonts w:ascii="Palatino Linotype" w:hAnsi="Palatino Linotype"/>
        </w:rPr>
        <w:t>n</w:t>
      </w:r>
      <w:r>
        <w:rPr>
          <w:rFonts w:ascii="Palatino Linotype" w:hAnsi="Palatino Linotype"/>
        </w:rPr>
        <w:t>sparencia y Acceso a la Información Pública de</w:t>
      </w:r>
      <w:r w:rsidR="00227A47">
        <w:rPr>
          <w:rFonts w:ascii="Palatino Linotype" w:hAnsi="Palatino Linotype"/>
        </w:rPr>
        <w:t xml:space="preserve">l Estado de México y Municipios, pues como quedó estipulado las resoluciones que emite este </w:t>
      </w:r>
      <w:r w:rsidR="00C208C2">
        <w:rPr>
          <w:rFonts w:ascii="Palatino Linotype" w:hAnsi="Palatino Linotype"/>
        </w:rPr>
        <w:t xml:space="preserve">Instituto </w:t>
      </w:r>
      <w:r w:rsidR="00227A47">
        <w:rPr>
          <w:rFonts w:ascii="Palatino Linotype" w:hAnsi="Palatino Linotype"/>
        </w:rPr>
        <w:t xml:space="preserve">son vinculatorias, definitivas e inatacables por los </w:t>
      </w:r>
      <w:r w:rsidR="00D06791">
        <w:rPr>
          <w:rFonts w:ascii="Palatino Linotype" w:hAnsi="Palatino Linotype"/>
        </w:rPr>
        <w:t>S</w:t>
      </w:r>
      <w:r w:rsidR="00227A47">
        <w:rPr>
          <w:rFonts w:ascii="Palatino Linotype" w:hAnsi="Palatino Linotype"/>
        </w:rPr>
        <w:t xml:space="preserve">ujetos </w:t>
      </w:r>
      <w:r w:rsidR="00D06791">
        <w:rPr>
          <w:rFonts w:ascii="Palatino Linotype" w:hAnsi="Palatino Linotype"/>
        </w:rPr>
        <w:t>O</w:t>
      </w:r>
      <w:r w:rsidR="00227A47">
        <w:rPr>
          <w:rFonts w:ascii="Palatino Linotype" w:hAnsi="Palatino Linotype"/>
        </w:rPr>
        <w:t>bligados.</w:t>
      </w:r>
    </w:p>
    <w:p w:rsidR="00D06791" w:rsidRDefault="00D06791" w:rsidP="0027403D">
      <w:pPr>
        <w:spacing w:line="360" w:lineRule="auto"/>
        <w:jc w:val="both"/>
        <w:rPr>
          <w:rFonts w:ascii="Palatino Linotype" w:hAnsi="Palatino Linotype"/>
        </w:rPr>
      </w:pPr>
    </w:p>
    <w:p w:rsidR="00592F38" w:rsidRDefault="00592F38" w:rsidP="0027403D">
      <w:pPr>
        <w:spacing w:line="360" w:lineRule="auto"/>
        <w:jc w:val="both"/>
        <w:rPr>
          <w:rFonts w:ascii="Palatino Linotype" w:hAnsi="Palatino Linotype"/>
        </w:rPr>
      </w:pPr>
      <w:r>
        <w:rPr>
          <w:rFonts w:ascii="Palatino Linotype" w:hAnsi="Palatino Linotype"/>
        </w:rPr>
        <w:t xml:space="preserve">En ese contexto, la que suscribe emite </w:t>
      </w:r>
      <w:r w:rsidRPr="00C94710">
        <w:rPr>
          <w:rFonts w:ascii="Palatino Linotype" w:hAnsi="Palatino Linotype"/>
          <w:b/>
        </w:rPr>
        <w:t>VOTO PARTICULAR</w:t>
      </w:r>
      <w:r>
        <w:rPr>
          <w:rFonts w:ascii="Palatino Linotype" w:hAnsi="Palatino Linotype"/>
        </w:rPr>
        <w:t xml:space="preserve"> pues se </w:t>
      </w:r>
      <w:r w:rsidR="004659A5">
        <w:rPr>
          <w:rFonts w:ascii="Palatino Linotype" w:hAnsi="Palatino Linotype"/>
        </w:rPr>
        <w:t xml:space="preserve">reitera que al permitir a los Sujetos Obligados promover algún tipo de recurso en contra de las resoluciones emitidas por </w:t>
      </w:r>
      <w:r w:rsidR="00D06791">
        <w:rPr>
          <w:rFonts w:ascii="Palatino Linotype" w:hAnsi="Palatino Linotype"/>
        </w:rPr>
        <w:t>este</w:t>
      </w:r>
      <w:r w:rsidR="004659A5">
        <w:rPr>
          <w:rFonts w:ascii="Palatino Linotype" w:hAnsi="Palatino Linotype"/>
        </w:rPr>
        <w:t xml:space="preserve"> Órgano</w:t>
      </w:r>
      <w:r w:rsidR="00D06791">
        <w:rPr>
          <w:rFonts w:ascii="Palatino Linotype" w:hAnsi="Palatino Linotype"/>
        </w:rPr>
        <w:t xml:space="preserve"> Garante</w:t>
      </w:r>
      <w:r w:rsidR="008973C5">
        <w:rPr>
          <w:rFonts w:ascii="Palatino Linotype" w:hAnsi="Palatino Linotype"/>
        </w:rPr>
        <w:t xml:space="preserve"> va en contradicción con</w:t>
      </w:r>
      <w:r w:rsidR="004659A5">
        <w:rPr>
          <w:rFonts w:ascii="Palatino Linotype" w:hAnsi="Palatino Linotype"/>
        </w:rPr>
        <w:t xml:space="preserve"> lo establecido en la </w:t>
      </w:r>
      <w:r w:rsidR="00227A47">
        <w:rPr>
          <w:rFonts w:ascii="Palatino Linotype" w:hAnsi="Palatino Linotype"/>
        </w:rPr>
        <w:t>Ley de Tra</w:t>
      </w:r>
      <w:r w:rsidR="00314C8C">
        <w:rPr>
          <w:rFonts w:ascii="Palatino Linotype" w:hAnsi="Palatino Linotype"/>
        </w:rPr>
        <w:t>nsparencia</w:t>
      </w:r>
      <w:r w:rsidR="00227A47">
        <w:rPr>
          <w:rFonts w:ascii="Palatino Linotype" w:hAnsi="Palatino Linotype"/>
        </w:rPr>
        <w:t xml:space="preserve"> y Acceso a la Información Pública del Estado de México y Municipios</w:t>
      </w:r>
      <w:r w:rsidR="004659A5">
        <w:rPr>
          <w:rFonts w:ascii="Palatino Linotype" w:hAnsi="Palatino Linotype"/>
        </w:rPr>
        <w:t xml:space="preserve">, y </w:t>
      </w:r>
      <w:r w:rsidR="00C208C2">
        <w:rPr>
          <w:rFonts w:ascii="Palatino Linotype" w:hAnsi="Palatino Linotype"/>
        </w:rPr>
        <w:t>los</w:t>
      </w:r>
      <w:r w:rsidR="004659A5">
        <w:rPr>
          <w:rFonts w:ascii="Palatino Linotype" w:hAnsi="Palatino Linotype"/>
        </w:rPr>
        <w:t xml:space="preserve"> principio</w:t>
      </w:r>
      <w:r w:rsidR="00C208C2">
        <w:rPr>
          <w:rFonts w:ascii="Palatino Linotype" w:hAnsi="Palatino Linotype"/>
        </w:rPr>
        <w:t>s</w:t>
      </w:r>
      <w:r w:rsidR="004659A5">
        <w:rPr>
          <w:rFonts w:ascii="Palatino Linotype" w:hAnsi="Palatino Linotype"/>
        </w:rPr>
        <w:t xml:space="preserve"> de </w:t>
      </w:r>
      <w:r w:rsidR="00D06791">
        <w:rPr>
          <w:rFonts w:ascii="Palatino Linotype" w:hAnsi="Palatino Linotype"/>
        </w:rPr>
        <w:t>l</w:t>
      </w:r>
      <w:r w:rsidR="004659A5">
        <w:rPr>
          <w:rFonts w:ascii="Palatino Linotype" w:hAnsi="Palatino Linotype"/>
        </w:rPr>
        <w:t>egalidad</w:t>
      </w:r>
      <w:r w:rsidR="00C208C2">
        <w:rPr>
          <w:rFonts w:ascii="Palatino Linotype" w:hAnsi="Palatino Linotype"/>
        </w:rPr>
        <w:t xml:space="preserve"> y certeza</w:t>
      </w:r>
      <w:r w:rsidR="004659A5">
        <w:rPr>
          <w:rFonts w:ascii="Palatino Linotype" w:hAnsi="Palatino Linotype"/>
        </w:rPr>
        <w:t>.</w:t>
      </w:r>
    </w:p>
    <w:p w:rsidR="0027403D" w:rsidRDefault="0027403D" w:rsidP="0027403D">
      <w:pPr>
        <w:spacing w:line="360" w:lineRule="auto"/>
        <w:jc w:val="both"/>
        <w:rPr>
          <w:rFonts w:ascii="Palatino Linotype" w:hAnsi="Palatino Linotype"/>
        </w:rPr>
      </w:pPr>
    </w:p>
    <w:p w:rsidR="0027403D" w:rsidRPr="000B0E4A" w:rsidRDefault="0027403D" w:rsidP="0027403D">
      <w:pPr>
        <w:spacing w:line="360" w:lineRule="auto"/>
        <w:jc w:val="both"/>
        <w:rPr>
          <w:rFonts w:ascii="Palatino Linotype" w:hAnsi="Palatino Linotype"/>
        </w:rPr>
      </w:pPr>
    </w:p>
    <w:p w:rsidR="00592F38" w:rsidRDefault="00592F38" w:rsidP="0027403D">
      <w:pPr>
        <w:jc w:val="both"/>
        <w:rPr>
          <w:rFonts w:ascii="Palatino Linotype" w:hAnsi="Palatino Linotype" w:cs="Arial"/>
        </w:rPr>
      </w:pPr>
    </w:p>
    <w:tbl>
      <w:tblPr>
        <w:tblW w:w="2896" w:type="dxa"/>
        <w:jc w:val="center"/>
        <w:tblLayout w:type="fixed"/>
        <w:tblLook w:val="04A0" w:firstRow="1" w:lastRow="0" w:firstColumn="1" w:lastColumn="0" w:noHBand="0" w:noVBand="1"/>
      </w:tblPr>
      <w:tblGrid>
        <w:gridCol w:w="2896"/>
      </w:tblGrid>
      <w:tr w:rsidR="00592F38" w:rsidRPr="001B6F4B" w:rsidTr="001B2DD4">
        <w:trPr>
          <w:trHeight w:val="913"/>
          <w:jc w:val="center"/>
        </w:trPr>
        <w:tc>
          <w:tcPr>
            <w:tcW w:w="2896" w:type="dxa"/>
            <w:vAlign w:val="center"/>
          </w:tcPr>
          <w:p w:rsidR="008452EB" w:rsidRDefault="008452EB" w:rsidP="0027403D">
            <w:pPr>
              <w:jc w:val="center"/>
              <w:rPr>
                <w:rFonts w:ascii="Palatino Linotype" w:hAnsi="Palatino Linotype" w:cs="Arial"/>
                <w:b/>
              </w:rPr>
            </w:pPr>
          </w:p>
          <w:p w:rsidR="008452EB" w:rsidRDefault="008452EB" w:rsidP="0027403D">
            <w:pPr>
              <w:jc w:val="center"/>
              <w:rPr>
                <w:rFonts w:ascii="Palatino Linotype" w:hAnsi="Palatino Linotype" w:cs="Arial"/>
                <w:b/>
              </w:rPr>
            </w:pPr>
          </w:p>
          <w:p w:rsidR="008452EB" w:rsidRDefault="008452EB" w:rsidP="0027403D">
            <w:pPr>
              <w:jc w:val="center"/>
              <w:rPr>
                <w:rFonts w:ascii="Palatino Linotype" w:hAnsi="Palatino Linotype" w:cs="Arial"/>
                <w:b/>
              </w:rPr>
            </w:pPr>
          </w:p>
          <w:p w:rsidR="008452EB" w:rsidRDefault="008452EB" w:rsidP="0027403D">
            <w:pPr>
              <w:jc w:val="center"/>
              <w:rPr>
                <w:rFonts w:ascii="Palatino Linotype" w:hAnsi="Palatino Linotype" w:cs="Arial"/>
                <w:b/>
              </w:rPr>
            </w:pPr>
          </w:p>
          <w:p w:rsidR="00592F38" w:rsidRPr="0087279D" w:rsidRDefault="00592F38" w:rsidP="0027403D">
            <w:pPr>
              <w:jc w:val="center"/>
              <w:rPr>
                <w:rFonts w:ascii="Palatino Linotype" w:hAnsi="Palatino Linotype" w:cs="Arial"/>
                <w:b/>
              </w:rPr>
            </w:pPr>
            <w:r w:rsidRPr="0087279D">
              <w:rPr>
                <w:rFonts w:ascii="Palatino Linotype" w:hAnsi="Palatino Linotype" w:cs="Arial"/>
                <w:b/>
              </w:rPr>
              <w:t>EVA ABAID YAPUR</w:t>
            </w:r>
          </w:p>
          <w:p w:rsidR="00592F38" w:rsidRDefault="00592F38" w:rsidP="008452EB">
            <w:pPr>
              <w:jc w:val="center"/>
              <w:rPr>
                <w:rFonts w:ascii="Palatino Linotype" w:hAnsi="Palatino Linotype" w:cs="Arial"/>
                <w:b/>
              </w:rPr>
            </w:pPr>
            <w:r w:rsidRPr="0087279D">
              <w:rPr>
                <w:rFonts w:ascii="Palatino Linotype" w:hAnsi="Palatino Linotype" w:cs="Arial"/>
                <w:b/>
              </w:rPr>
              <w:t>COMISIONADA</w:t>
            </w:r>
          </w:p>
          <w:p w:rsidR="00751682" w:rsidRPr="0087279D" w:rsidRDefault="00751682" w:rsidP="008452EB">
            <w:pPr>
              <w:jc w:val="center"/>
              <w:rPr>
                <w:rFonts w:ascii="Palatino Linotype" w:hAnsi="Palatino Linotype" w:cs="Arial"/>
                <w:b/>
              </w:rPr>
            </w:pPr>
            <w:r>
              <w:rPr>
                <w:rFonts w:ascii="Palatino Linotype" w:hAnsi="Palatino Linotype" w:cs="Arial"/>
                <w:b/>
              </w:rPr>
              <w:t>(RÚBRICA)</w:t>
            </w:r>
          </w:p>
        </w:tc>
      </w:tr>
    </w:tbl>
    <w:p w:rsidR="00592F38" w:rsidRDefault="00592F38" w:rsidP="0027403D">
      <w:pPr>
        <w:spacing w:line="360" w:lineRule="auto"/>
        <w:jc w:val="both"/>
        <w:rPr>
          <w:rFonts w:ascii="Palatino Linotype" w:eastAsia="Calibri" w:hAnsi="Palatino Linotype" w:cs="Arial"/>
          <w:color w:val="000000" w:themeColor="text1"/>
          <w:sz w:val="21"/>
          <w:szCs w:val="21"/>
        </w:rPr>
      </w:pPr>
      <w:bookmarkStart w:id="0" w:name="_GoBack"/>
      <w:bookmarkEnd w:id="0"/>
    </w:p>
    <w:p w:rsidR="008452EB" w:rsidRDefault="008452EB" w:rsidP="0027403D">
      <w:pPr>
        <w:jc w:val="both"/>
        <w:rPr>
          <w:rFonts w:ascii="Palatino Linotype" w:eastAsia="Calibri" w:hAnsi="Palatino Linotype" w:cs="Arial"/>
          <w:color w:val="000000" w:themeColor="text1"/>
          <w:sz w:val="20"/>
          <w:szCs w:val="20"/>
        </w:rPr>
      </w:pPr>
    </w:p>
    <w:p w:rsidR="00592F38" w:rsidRDefault="00592F38" w:rsidP="0027403D">
      <w:pPr>
        <w:jc w:val="both"/>
        <w:rPr>
          <w:rFonts w:ascii="Palatino Linotype" w:eastAsia="Calibri" w:hAnsi="Palatino Linotype" w:cs="Arial"/>
          <w:color w:val="000000" w:themeColor="text1"/>
          <w:sz w:val="20"/>
          <w:szCs w:val="20"/>
        </w:rPr>
      </w:pPr>
      <w:r w:rsidRPr="008452EB">
        <w:rPr>
          <w:rFonts w:ascii="Palatino Linotype" w:eastAsia="Calibri" w:hAnsi="Palatino Linotype" w:cs="Arial"/>
          <w:color w:val="000000" w:themeColor="text1"/>
          <w:sz w:val="20"/>
          <w:szCs w:val="20"/>
        </w:rPr>
        <w:t>Esta hoja corresponde al voto particular emit</w:t>
      </w:r>
      <w:r w:rsidR="004659A5" w:rsidRPr="008452EB">
        <w:rPr>
          <w:rFonts w:ascii="Palatino Linotype" w:eastAsia="Calibri" w:hAnsi="Palatino Linotype" w:cs="Arial"/>
          <w:color w:val="000000" w:themeColor="text1"/>
          <w:sz w:val="20"/>
          <w:szCs w:val="20"/>
        </w:rPr>
        <w:t>ido</w:t>
      </w:r>
      <w:r w:rsidR="0027403D" w:rsidRPr="008452EB">
        <w:rPr>
          <w:rFonts w:ascii="Palatino Linotype" w:eastAsia="Calibri" w:hAnsi="Palatino Linotype" w:cs="Arial"/>
          <w:color w:val="000000" w:themeColor="text1"/>
          <w:sz w:val="20"/>
          <w:szCs w:val="20"/>
        </w:rPr>
        <w:t xml:space="preserve"> en la resolución del</w:t>
      </w:r>
      <w:r w:rsidR="00D07287" w:rsidRPr="008452EB">
        <w:rPr>
          <w:rFonts w:ascii="Palatino Linotype" w:eastAsia="Calibri" w:hAnsi="Palatino Linotype" w:cs="Arial"/>
          <w:color w:val="000000" w:themeColor="text1"/>
          <w:sz w:val="20"/>
          <w:szCs w:val="20"/>
        </w:rPr>
        <w:t xml:space="preserve"> recurso de revisión 02</w:t>
      </w:r>
      <w:r w:rsidR="0027403D" w:rsidRPr="008452EB">
        <w:rPr>
          <w:rFonts w:ascii="Palatino Linotype" w:eastAsia="Calibri" w:hAnsi="Palatino Linotype" w:cs="Arial"/>
          <w:color w:val="000000" w:themeColor="text1"/>
          <w:sz w:val="20"/>
          <w:szCs w:val="20"/>
        </w:rPr>
        <w:t>053</w:t>
      </w:r>
      <w:r w:rsidR="00D07287" w:rsidRPr="008452EB">
        <w:rPr>
          <w:rFonts w:ascii="Palatino Linotype" w:eastAsia="Calibri" w:hAnsi="Palatino Linotype" w:cs="Arial"/>
          <w:color w:val="000000" w:themeColor="text1"/>
          <w:sz w:val="20"/>
          <w:szCs w:val="20"/>
        </w:rPr>
        <w:t>/</w:t>
      </w:r>
      <w:r w:rsidRPr="008452EB">
        <w:rPr>
          <w:rFonts w:ascii="Palatino Linotype" w:eastAsia="Calibri" w:hAnsi="Palatino Linotype" w:cs="Arial"/>
          <w:color w:val="000000" w:themeColor="text1"/>
          <w:sz w:val="20"/>
          <w:szCs w:val="20"/>
        </w:rPr>
        <w:t>INFOEM/IP/RR/201</w:t>
      </w:r>
      <w:r w:rsidR="0027403D" w:rsidRPr="008452EB">
        <w:rPr>
          <w:rFonts w:ascii="Palatino Linotype" w:eastAsia="Calibri" w:hAnsi="Palatino Linotype" w:cs="Arial"/>
          <w:color w:val="000000" w:themeColor="text1"/>
          <w:sz w:val="20"/>
          <w:szCs w:val="20"/>
        </w:rPr>
        <w:t>8</w:t>
      </w:r>
      <w:r w:rsidRPr="008452EB">
        <w:rPr>
          <w:rFonts w:ascii="Palatino Linotype" w:eastAsia="Calibri" w:hAnsi="Palatino Linotype" w:cs="Arial"/>
          <w:color w:val="000000" w:themeColor="text1"/>
          <w:sz w:val="20"/>
          <w:szCs w:val="20"/>
        </w:rPr>
        <w:t xml:space="preserve">, aprobado el </w:t>
      </w:r>
      <w:r w:rsidR="0027403D" w:rsidRPr="008452EB">
        <w:rPr>
          <w:rFonts w:ascii="Palatino Linotype" w:eastAsia="Calibri" w:hAnsi="Palatino Linotype" w:cs="Arial"/>
          <w:color w:val="000000" w:themeColor="text1"/>
          <w:sz w:val="20"/>
          <w:szCs w:val="20"/>
        </w:rPr>
        <w:t>uno de agosto de dos mil dieciocho</w:t>
      </w:r>
      <w:r w:rsidRPr="008452EB">
        <w:rPr>
          <w:rFonts w:ascii="Palatino Linotype" w:eastAsia="Calibri" w:hAnsi="Palatino Linotype" w:cs="Arial"/>
          <w:color w:val="000000" w:themeColor="text1"/>
          <w:sz w:val="20"/>
          <w:szCs w:val="20"/>
        </w:rPr>
        <w:t>.</w:t>
      </w:r>
    </w:p>
    <w:p w:rsidR="008452EB" w:rsidRPr="008452EB" w:rsidRDefault="008452EB" w:rsidP="0027403D">
      <w:pPr>
        <w:jc w:val="both"/>
        <w:rPr>
          <w:rFonts w:ascii="Palatino Linotype" w:eastAsia="Calibri" w:hAnsi="Palatino Linotype" w:cs="Arial"/>
          <w:color w:val="000000" w:themeColor="text1"/>
          <w:sz w:val="8"/>
          <w:szCs w:val="16"/>
        </w:rPr>
      </w:pPr>
    </w:p>
    <w:p w:rsidR="00C23B43" w:rsidRPr="008452EB" w:rsidRDefault="00592F38" w:rsidP="008452EB">
      <w:pPr>
        <w:jc w:val="both"/>
        <w:rPr>
          <w:sz w:val="32"/>
        </w:rPr>
      </w:pPr>
      <w:r w:rsidRPr="008452EB">
        <w:rPr>
          <w:rFonts w:ascii="Palatino Linotype" w:eastAsia="Calibri" w:hAnsi="Palatino Linotype" w:cs="Arial"/>
          <w:color w:val="000000" w:themeColor="text1"/>
          <w:sz w:val="20"/>
          <w:szCs w:val="20"/>
        </w:rPr>
        <w:t>YSM/</w:t>
      </w:r>
      <w:r w:rsidR="0027403D" w:rsidRPr="008452EB">
        <w:rPr>
          <w:rFonts w:ascii="Palatino Linotype" w:eastAsia="Calibri" w:hAnsi="Palatino Linotype" w:cs="Arial"/>
          <w:color w:val="000000" w:themeColor="text1"/>
          <w:sz w:val="20"/>
          <w:szCs w:val="20"/>
        </w:rPr>
        <w:t>ATU</w:t>
      </w:r>
    </w:p>
    <w:sectPr w:rsidR="00C23B43" w:rsidRPr="008452EB" w:rsidSect="009110E4">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1B3" w:rsidRDefault="004851B3" w:rsidP="00592F38">
      <w:r>
        <w:separator/>
      </w:r>
    </w:p>
  </w:endnote>
  <w:endnote w:type="continuationSeparator" w:id="0">
    <w:p w:rsidR="004851B3" w:rsidRDefault="004851B3" w:rsidP="0059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4851B3" w:rsidP="003056D9">
    <w:pPr>
      <w:pStyle w:val="Piedepgina"/>
      <w:tabs>
        <w:tab w:val="clear" w:pos="4252"/>
        <w:tab w:val="left" w:pos="4228"/>
      </w:tabs>
      <w:rPr>
        <w:rFonts w:ascii="Palatino Linotype" w:hAnsi="Palatino Linotype" w:cs="Arial"/>
        <w:b/>
        <w:bCs/>
        <w:sz w:val="20"/>
        <w:szCs w:val="20"/>
      </w:rPr>
    </w:pPr>
  </w:p>
  <w:p w:rsidR="003056D9" w:rsidRDefault="004851B3" w:rsidP="003056D9">
    <w:pPr>
      <w:pStyle w:val="Piedepgina"/>
      <w:tabs>
        <w:tab w:val="clear" w:pos="4252"/>
        <w:tab w:val="left" w:pos="4228"/>
      </w:tabs>
      <w:rPr>
        <w:rFonts w:ascii="Palatino Linotype" w:hAnsi="Palatino Linotype" w:cs="Arial"/>
        <w:b/>
        <w:bCs/>
        <w:sz w:val="20"/>
        <w:szCs w:val="20"/>
      </w:rPr>
    </w:pPr>
  </w:p>
  <w:p w:rsidR="003056D9" w:rsidRDefault="004851B3" w:rsidP="003056D9">
    <w:pPr>
      <w:pStyle w:val="Piedepgina"/>
      <w:tabs>
        <w:tab w:val="clear" w:pos="4252"/>
        <w:tab w:val="left" w:pos="4228"/>
      </w:tabs>
      <w:rPr>
        <w:rFonts w:ascii="Palatino Linotype" w:hAnsi="Palatino Linotype" w:cs="Arial"/>
        <w:b/>
        <w:bCs/>
        <w:sz w:val="20"/>
        <w:szCs w:val="20"/>
      </w:rPr>
    </w:pPr>
  </w:p>
  <w:p w:rsidR="00455CB3" w:rsidRDefault="004851B3" w:rsidP="000E2B1A">
    <w:pPr>
      <w:pStyle w:val="Piedepgina"/>
      <w:rPr>
        <w:rFonts w:ascii="Palatino Linotype" w:hAnsi="Palatino Linotype" w:cs="Arial"/>
        <w:b/>
        <w:bCs/>
        <w:sz w:val="20"/>
        <w:szCs w:val="20"/>
      </w:rPr>
    </w:pPr>
  </w:p>
  <w:p w:rsidR="003056D9" w:rsidRPr="00F12350" w:rsidRDefault="00974C84"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51682">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51682">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6F30F8" w:rsidRDefault="004851B3"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1B3" w:rsidRDefault="004851B3" w:rsidP="00592F38">
      <w:r>
        <w:separator/>
      </w:r>
    </w:p>
  </w:footnote>
  <w:footnote w:type="continuationSeparator" w:id="0">
    <w:p w:rsidR="004851B3" w:rsidRDefault="004851B3" w:rsidP="00592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4851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DD" w:rsidRDefault="00974C8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CEA7B58" wp14:editId="5A8AAE9E">
          <wp:simplePos x="0" y="0"/>
          <wp:positionH relativeFrom="column">
            <wp:posOffset>-936625</wp:posOffset>
          </wp:positionH>
          <wp:positionV relativeFrom="paragraph">
            <wp:posOffset>-423545</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34309A" w:rsidRDefault="004851B3" w:rsidP="0034309A">
    <w:pPr>
      <w:pStyle w:val="Encabezado"/>
      <w:tabs>
        <w:tab w:val="clear" w:pos="4252"/>
        <w:tab w:val="clear" w:pos="8504"/>
        <w:tab w:val="left" w:pos="2326"/>
      </w:tabs>
      <w:jc w:val="right"/>
    </w:pPr>
  </w:p>
  <w:tbl>
    <w:tblPr>
      <w:tblW w:w="5103" w:type="dxa"/>
      <w:tblInd w:w="4253" w:type="dxa"/>
      <w:tblLayout w:type="fixed"/>
      <w:tblLook w:val="04A0" w:firstRow="1" w:lastRow="0" w:firstColumn="1" w:lastColumn="0" w:noHBand="0" w:noVBand="1"/>
    </w:tblPr>
    <w:tblGrid>
      <w:gridCol w:w="5103"/>
    </w:tblGrid>
    <w:tr w:rsidR="00801C8F" w:rsidRPr="008F2CCC" w:rsidTr="009110E4">
      <w:tc>
        <w:tcPr>
          <w:tcW w:w="5103" w:type="dxa"/>
          <w:shd w:val="clear" w:color="auto" w:fill="auto"/>
        </w:tcPr>
        <w:p w:rsidR="00801C8F" w:rsidRPr="00801C8F" w:rsidRDefault="00974C84" w:rsidP="009110E4">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cs="Arial"/>
              <w:sz w:val="20"/>
              <w:szCs w:val="20"/>
            </w:rPr>
            <w:t xml:space="preserve">                                                          VOTO PARTICULAR</w:t>
          </w:r>
        </w:p>
      </w:tc>
    </w:tr>
  </w:tbl>
  <w:p w:rsidR="00CE49CC" w:rsidRDefault="005F64AF" w:rsidP="005F64AF">
    <w:pPr>
      <w:pStyle w:val="Encabezado"/>
      <w:tabs>
        <w:tab w:val="clear" w:pos="4252"/>
        <w:tab w:val="clear" w:pos="8504"/>
        <w:tab w:val="left" w:pos="2326"/>
      </w:tabs>
      <w:ind w:left="34" w:right="-93"/>
      <w:jc w:val="right"/>
      <w:rPr>
        <w:rFonts w:ascii="Palatino Linotype" w:hAnsi="Palatino Linotype" w:cs="Arial"/>
        <w:sz w:val="20"/>
        <w:szCs w:val="20"/>
      </w:rPr>
    </w:pPr>
    <w:r>
      <w:rPr>
        <w:rFonts w:ascii="Palatino Linotype" w:hAnsi="Palatino Linotype" w:cs="Arial"/>
        <w:sz w:val="20"/>
        <w:szCs w:val="20"/>
      </w:rPr>
      <w:t xml:space="preserve">   </w:t>
    </w:r>
    <w:r w:rsidR="00FF4386">
      <w:rPr>
        <w:rFonts w:ascii="Palatino Linotype" w:hAnsi="Palatino Linotype" w:cs="Arial"/>
        <w:sz w:val="20"/>
        <w:szCs w:val="20"/>
      </w:rPr>
      <w:t>RECURSO DE REVISIÓN 02</w:t>
    </w:r>
    <w:r>
      <w:rPr>
        <w:rFonts w:ascii="Palatino Linotype" w:hAnsi="Palatino Linotype" w:cs="Arial"/>
        <w:sz w:val="20"/>
        <w:szCs w:val="20"/>
      </w:rPr>
      <w:t>053/INFOEM/IP/RR/2018</w:t>
    </w:r>
  </w:p>
  <w:p w:rsidR="00CE49CC" w:rsidRDefault="004851B3" w:rsidP="00CE49CC">
    <w:pPr>
      <w:pStyle w:val="Encabezado"/>
      <w:tabs>
        <w:tab w:val="clear" w:pos="4252"/>
        <w:tab w:val="clear" w:pos="8504"/>
        <w:tab w:val="left" w:pos="2326"/>
      </w:tabs>
      <w:ind w:left="34"/>
      <w:jc w:val="right"/>
      <w:rPr>
        <w:rFonts w:ascii="Palatino Linotype" w:hAnsi="Palatino Linotype" w:cs="Arial"/>
        <w:sz w:val="20"/>
        <w:szCs w:val="20"/>
      </w:rPr>
    </w:pPr>
  </w:p>
  <w:p w:rsidR="00066B13" w:rsidRDefault="004851B3"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64.95pt;rotation:315;z-index:-251655168;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4851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38"/>
    <w:rsid w:val="00002700"/>
    <w:rsid w:val="000B0E4A"/>
    <w:rsid w:val="000C2DDC"/>
    <w:rsid w:val="00227A47"/>
    <w:rsid w:val="00247472"/>
    <w:rsid w:val="0027403D"/>
    <w:rsid w:val="00314C8C"/>
    <w:rsid w:val="003E78BE"/>
    <w:rsid w:val="004659A5"/>
    <w:rsid w:val="004851B3"/>
    <w:rsid w:val="004C20EC"/>
    <w:rsid w:val="00592F38"/>
    <w:rsid w:val="005F64AF"/>
    <w:rsid w:val="00751682"/>
    <w:rsid w:val="00783D30"/>
    <w:rsid w:val="008452EB"/>
    <w:rsid w:val="008973C5"/>
    <w:rsid w:val="00974C84"/>
    <w:rsid w:val="00C208C2"/>
    <w:rsid w:val="00C23B43"/>
    <w:rsid w:val="00C2566D"/>
    <w:rsid w:val="00CA1035"/>
    <w:rsid w:val="00D06791"/>
    <w:rsid w:val="00D07287"/>
    <w:rsid w:val="00D74B7B"/>
    <w:rsid w:val="00EA1E4C"/>
    <w:rsid w:val="00F928C9"/>
    <w:rsid w:val="00FB3E00"/>
    <w:rsid w:val="00FF4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9D4239E-361B-48C2-A1BB-B6048FA2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F3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2F38"/>
    <w:rPr>
      <w:rFonts w:eastAsiaTheme="minorEastAsia"/>
      <w:sz w:val="24"/>
      <w:szCs w:val="24"/>
      <w:lang w:val="es-ES_tradnl" w:eastAsia="es-ES"/>
    </w:rPr>
  </w:style>
  <w:style w:type="paragraph" w:styleId="Piedepgina">
    <w:name w:val="footer"/>
    <w:basedOn w:val="Normal"/>
    <w:link w:val="PiedepginaCar"/>
    <w:uiPriority w:val="99"/>
    <w:unhideWhenUsed/>
    <w:rsid w:val="00592F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2F38"/>
    <w:rPr>
      <w:rFonts w:eastAsiaTheme="minorEastAsia"/>
      <w:sz w:val="24"/>
      <w:szCs w:val="24"/>
      <w:lang w:val="es-ES_tradnl" w:eastAsia="es-ES"/>
    </w:rPr>
  </w:style>
  <w:style w:type="paragraph" w:styleId="Prrafodelista">
    <w:name w:val="List Paragraph"/>
    <w:basedOn w:val="Normal"/>
    <w:link w:val="PrrafodelistaCar"/>
    <w:uiPriority w:val="34"/>
    <w:qFormat/>
    <w:rsid w:val="00592F38"/>
    <w:pPr>
      <w:ind w:left="720"/>
      <w:contextualSpacing/>
    </w:pPr>
  </w:style>
  <w:style w:type="character" w:customStyle="1" w:styleId="PrrafodelistaCar">
    <w:name w:val="Párrafo de lista Car"/>
    <w:link w:val="Prrafodelista"/>
    <w:uiPriority w:val="34"/>
    <w:locked/>
    <w:rsid w:val="00592F3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659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59A5"/>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BC460-6503-439D-9EE2-7B14882B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2018-08-08T18:52:00Z</cp:lastPrinted>
  <dcterms:created xsi:type="dcterms:W3CDTF">2018-08-07T18:04:00Z</dcterms:created>
  <dcterms:modified xsi:type="dcterms:W3CDTF">2018-10-11T01:14:00Z</dcterms:modified>
</cp:coreProperties>
</file>